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52.00000000000003" w:lineRule="auto"/>
        <w:ind w:left="2392" w:right="78" w:firstLine="0"/>
        <w:jc w:val="both"/>
        <w:rPr>
          <w:rFonts w:ascii="Corbel" w:cs="Corbel" w:eastAsia="Corbel" w:hAnsi="Corbel"/>
          <w:b w:val="0"/>
          <w:sz w:val="22"/>
          <w:szCs w:val="22"/>
        </w:rPr>
      </w:pPr>
      <w:r w:rsidDel="00000000" w:rsidR="00000000" w:rsidRPr="00000000">
        <w:rPr>
          <w:rtl w:val="0"/>
        </w:rPr>
      </w:r>
    </w:p>
    <w:p w:rsidR="00000000" w:rsidDel="00000000" w:rsidP="00000000" w:rsidRDefault="00000000" w:rsidRPr="00000000" w14:paraId="00000002">
      <w:pPr>
        <w:pStyle w:val="Heading1"/>
        <w:spacing w:line="252.00000000000003" w:lineRule="auto"/>
        <w:ind w:left="283.46456692913375" w:right="1213.937007874016" w:firstLine="0"/>
        <w:rPr>
          <w:rFonts w:ascii="Corbel" w:cs="Corbel" w:eastAsia="Corbel" w:hAnsi="Corbel"/>
          <w:b w:val="0"/>
          <w:i w:val="1"/>
          <w:sz w:val="22"/>
          <w:szCs w:val="22"/>
        </w:rPr>
      </w:pPr>
      <w:r w:rsidDel="00000000" w:rsidR="00000000" w:rsidRPr="00000000">
        <w:rPr>
          <w:rFonts w:ascii="Corbel" w:cs="Corbel" w:eastAsia="Corbel" w:hAnsi="Corbel"/>
          <w:b w:val="0"/>
          <w:i w:val="1"/>
          <w:sz w:val="22"/>
          <w:szCs w:val="22"/>
          <w:rtl w:val="0"/>
        </w:rPr>
        <w:t xml:space="preserve"> Adottato con delibera n. 82 del 27 settembre 2023</w:t>
      </w:r>
    </w:p>
    <w:p w:rsidR="00000000" w:rsidDel="00000000" w:rsidP="00000000" w:rsidRDefault="00000000" w:rsidRPr="00000000" w14:paraId="00000003">
      <w:pPr>
        <w:spacing w:line="360" w:lineRule="auto"/>
        <w:ind w:left="283.46456692913375" w:right="1213.937007874016" w:firstLine="0"/>
        <w:jc w:val="center"/>
        <w:rPr>
          <w:rFonts w:ascii="Corbel" w:cs="Corbel" w:eastAsia="Corbel" w:hAnsi="Corbe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5"/>
          <w:tab w:val="left" w:leader="none" w:pos="756"/>
        </w:tabs>
        <w:spacing w:after="0" w:before="0" w:line="240" w:lineRule="auto"/>
        <w:ind w:left="283.46456692913375" w:right="1213.937007874016" w:firstLine="0"/>
        <w:jc w:val="center"/>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REGOLAMENTO D’ISTITUTO PER LO SVOLGIMENTO DELL’ATTIVITA’ NEGOZIALE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5"/>
          <w:tab w:val="left" w:leader="none" w:pos="756"/>
        </w:tabs>
        <w:spacing w:after="0" w:before="0" w:line="240" w:lineRule="auto"/>
        <w:ind w:left="283.46456692913375" w:right="1213.937007874016" w:firstLine="0"/>
        <w:jc w:val="center"/>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PER L’ACQUISTO DI LAVORI SERVIZI E FORNITURE SOTTOSOGLIA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5"/>
          <w:tab w:val="left" w:leader="none" w:pos="756"/>
        </w:tabs>
        <w:spacing w:after="0" w:before="0" w:line="240" w:lineRule="auto"/>
        <w:ind w:left="283.46456692913375" w:right="1213.937007874016" w:firstLine="0"/>
        <w:jc w:val="center"/>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99" w:line="242.99999999999997"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1 - Principi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La gestione amministrativo-contabile dell’Istituto si ispira ai principi fondamentali di competenza e di cassa, ed è improntata a criteri di efficacia, efficienza ed economicità, e si conforma ai principi di trasparenza, annualità, universalità, integrità, unità, veridicità, chiarezza, pareggio, armonizzazione, confrontabilità e monitoraggio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Art. 2 comma 1 del D.I.n. 129/2018</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nonché ai principi guida per l’applicazione del nuovo codice degli appalti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D.lgs. 36/2023</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pStyle w:val="Heading1"/>
        <w:ind w:left="283.46456692913375" w:right="1213.937007874016" w:firstLine="0"/>
        <w:rPr>
          <w:rFonts w:ascii="Corbel" w:cs="Corbel" w:eastAsia="Corbel" w:hAnsi="Corbel"/>
          <w:sz w:val="22"/>
          <w:szCs w:val="22"/>
        </w:rPr>
      </w:pPr>
      <w:r w:rsidDel="00000000" w:rsidR="00000000" w:rsidRPr="00000000">
        <w:rPr>
          <w:rtl w:val="0"/>
        </w:rPr>
      </w:r>
    </w:p>
    <w:p w:rsidR="00000000" w:rsidDel="00000000" w:rsidP="00000000" w:rsidRDefault="00000000" w:rsidRPr="00000000" w14:paraId="0000000A">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2 - Ambito di applicazione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0"/>
        </w:tabs>
        <w:spacing w:after="0" w:before="59"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Le istituzioni scolastiche per il raggiungimento e nell’ambito dei propri fini istituzionali, hanno piena capacità ed autonomia negoziale, pertanto possono stipulare convenzioni e contratti, con esclusione dei contratti aleatori</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97"/>
        </w:tabs>
        <w:spacing w:after="0" w:before="61"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Il dirigente scolastico svolge l’attività negoziale necessaria all’attuazione del PTOF e del programma annuale, nel rispetto delle deliberazioni del Consiglio d’istituto</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97"/>
        </w:tabs>
        <w:spacing w:after="0" w:before="59"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Il presente Regolamento disciplina i criteri e i limiti per lo svolgimento, da parte del DS, delle attività negoziali relative ad affidamenti di lavori, servizi e forniture di importo inferiore alle soglie di rilevanza comunitaria, secondo quanto disposto dal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D.lgs. 36/2023 </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e dal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D.I. 129/2018</w:t>
      </w:r>
      <w:r w:rsidDel="00000000" w:rsidR="00000000" w:rsidRPr="00000000">
        <w:rPr>
          <w:rtl w:val="0"/>
        </w:rPr>
      </w:r>
    </w:p>
    <w:p w:rsidR="00000000" w:rsidDel="00000000" w:rsidP="00000000" w:rsidRDefault="00000000" w:rsidRPr="00000000" w14:paraId="0000000E">
      <w:pPr>
        <w:pStyle w:val="Heading1"/>
        <w:spacing w:after="120" w:before="240" w:line="242.99999999999997" w:lineRule="auto"/>
        <w:ind w:left="283.46456692913375" w:right="1213.937007874016" w:firstLine="0"/>
        <w:rPr>
          <w:rFonts w:ascii="Corbel" w:cs="Corbel" w:eastAsia="Corbel" w:hAnsi="Corbel"/>
          <w:sz w:val="22"/>
          <w:szCs w:val="22"/>
        </w:rPr>
      </w:pPr>
      <w:r w:rsidDel="00000000" w:rsidR="00000000" w:rsidRPr="00000000">
        <w:rPr>
          <w:rtl w:val="0"/>
        </w:rPr>
      </w:r>
    </w:p>
    <w:p w:rsidR="00000000" w:rsidDel="00000000" w:rsidP="00000000" w:rsidRDefault="00000000" w:rsidRPr="00000000" w14:paraId="0000000F">
      <w:pPr>
        <w:pStyle w:val="Heading1"/>
        <w:spacing w:after="120" w:before="240" w:line="242.99999999999997" w:lineRule="auto"/>
        <w:ind w:left="283.46456692913375" w:right="1213.937007874016" w:firstLine="0"/>
        <w:rPr>
          <w:rFonts w:ascii="Corbel" w:cs="Corbel" w:eastAsia="Corbel" w:hAnsi="Corbel"/>
          <w:i w:val="1"/>
          <w:sz w:val="22"/>
          <w:szCs w:val="22"/>
        </w:rPr>
      </w:pPr>
      <w:r w:rsidDel="00000000" w:rsidR="00000000" w:rsidRPr="00000000">
        <w:rPr>
          <w:rFonts w:ascii="Corbel" w:cs="Corbel" w:eastAsia="Corbel" w:hAnsi="Corbel"/>
          <w:color w:val="000000"/>
          <w:sz w:val="22"/>
          <w:szCs w:val="22"/>
          <w:rtl w:val="0"/>
        </w:rPr>
        <w:t xml:space="preserve">Art. 3 - Contratti sotto soglia comunitaria per affidamenti di lavori, servizi e forniture– Criteri e limiti</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
        </w:tabs>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L'affidamento e l'esecuzione di lavori, servizi e forniture di importo inferiore alle soglie di cui all'articolo 14 del Codice dei Contratti Pubblici avvengono nel rispetto dei principi di cui alla PARTE I – PRINCIPI GENERALI, con particolare riferimento agli articoli 17 (Fasi delle procedure di affidamento), 18 (Il contratto e la sua stipulazione) e 16 (Conflitto di interesse), nonché del rispetto del principio di rotazione (art. 49 del D.lgs. 36/2023). I nuovi importi previsti dalle Soglie Comunitarie di cui all’art. 14 del D.lgs. 36/2023 sono: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
        </w:tabs>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-euro 5.382.000 per gli appalti pubblici di lavori e per le concessioni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7"/>
        </w:tabs>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 - euro 140.000 per gli appalti pubblici di servizi e forniture.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7"/>
        </w:tabs>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keepNext w:val="1"/>
        <w:widowControl w:val="0"/>
        <w:tabs>
          <w:tab w:val="left" w:leader="none" w:pos="8613"/>
        </w:tabs>
        <w:spacing w:line="242.99999999999997"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4 - Procedure di affidamento nei contratti di lavori, servizi e forniture di importo inferiore alle soglie comunitarie </w:t>
      </w:r>
      <w:r w:rsidDel="00000000" w:rsidR="00000000" w:rsidRPr="00000000">
        <w:rPr>
          <w:rtl w:val="0"/>
        </w:rPr>
      </w:r>
    </w:p>
    <w:p w:rsidR="00000000" w:rsidDel="00000000" w:rsidP="00000000" w:rsidRDefault="00000000" w:rsidRPr="00000000" w14:paraId="00000015">
      <w:pPr>
        <w:spacing w:line="242.99999999999997" w:lineRule="auto"/>
        <w:ind w:left="283.46456692913375" w:right="1213.937007874016" w:firstLine="0"/>
        <w:jc w:val="both"/>
        <w:rPr>
          <w:rFonts w:ascii="Corbel" w:cs="Corbel" w:eastAsia="Corbel" w:hAnsi="Corbel"/>
          <w:i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Ai sensi del dell’art. 50 comma 1 del D.lgs. 36/2023, le stazioni appaltanti procedono all’affidamento dei contratti di lavori, servizi e forniture di importo inferiore alle soglie comunitarie con le seguenti modalità:</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br w:type="textWrapping"/>
        <w:t xml:space="preserve">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br w:type="textWrapping"/>
        <w:t xml:space="preserve">c) procedura negoziata senza bando, previa consultazione di almeno cinque operatori economici, ove esistenti, individuati in base a indagini di mercato o tramite elenchi di operatori economici, per i lavori di importo pari o superiore a 150.000 euro e inferiore a 1 milione di euro;</w:t>
        <w:br w:type="textWrapping"/>
        <w:t xml:space="preserve">d) procedura negoziata senza bando, previa consultazione di almeno dieci operatori economici, ove esistenti, individuati in base a indagini di mercato o tramite elenchi di operatori economici, per lavori di importo pari o superiore a 1 milione di euro e fino alle soglie e fino alle soglie comunitarie, previa adeguata motivazione.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e) procedura negoziata senza bando, previa consultazione di almeno cinque operatori economici, ove esistenti, individuati in base ad indagini di mercato o tramite elenchi di operatori economici, per l'affidamento di servizi e forniture, ivi compresi i servizi di ingegneria e architettura e l'attività di progettazione, di importo pari o superiore a 140.000 euro e fino alle soglie comunitarie.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Per la selezione degli operatori da invitare alle procedure negoziate, le stazioni appaltanti non possono utilizzare il sorteggio o altro metodo di estrazione casuale dei nominativi, se non in presenza di situazioni particolari e specificamente motivate, nei casi in cui non risulti praticabile nessun altro metodo di selezione degli operatori. Le stazioni appaltanti pubblicano sul proprio sito istituzionale i nominativi degli operatori consultati.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Per gli affidamenti di cui alle lettere c), d) ed e), le stazioni appaltanti procedono all’aggiudicazione dei relativi appalti sulla base del criterio dell’offerta economicamente più vantaggiosa oppure del prezzo più basso.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1"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Dopo la verifica dei requisiti dell’aggiudicatario la stazione appaltante può procedere all’esecuzione anticipata del contratto; nel caso di mancata stipulazione l’aggiudicatario ha diritto al rimborso delle spese sostenute per l’esecuzione dei lavori ordinati dal direttore dei lavori e, nel caso di servizi e forniture, per le prestazioni eseguite su ordine del direttore dell’esecuzione.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7"/>
        </w:tabs>
        <w:spacing w:after="0" w:before="61"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La stazione appaltante può sostituire il certificato di collaudo o il certificato di verifica di conformità con il</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certificato di regolare esecuzione, rilasciato per i lavori dal direttore dei lavori e per le forniture e i servizi dal RUP o dal direttore dell’esecuzione, se nominato. Il certificato diregolare esecuzione è emesso non oltre tre mesi dalla data di ultimazione delle prestazioni oggetto del contratto.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5 - Responsabile unico del progetto (</w:t>
      </w:r>
      <w:r w:rsidDel="00000000" w:rsidR="00000000" w:rsidRPr="00000000">
        <w:rPr>
          <w:rFonts w:ascii="Corbel" w:cs="Corbel" w:eastAsia="Corbel" w:hAnsi="Corbel"/>
          <w:sz w:val="22"/>
          <w:szCs w:val="22"/>
          <w:rtl w:val="0"/>
        </w:rPr>
        <w:t xml:space="preserve">RUP</w:t>
      </w:r>
      <w:r w:rsidDel="00000000" w:rsidR="00000000" w:rsidRPr="00000000">
        <w:rPr>
          <w:rFonts w:ascii="Corbel" w:cs="Corbel" w:eastAsia="Corbel" w:hAnsi="Corbel"/>
          <w:color w:val="000000"/>
          <w:sz w:val="22"/>
          <w:szCs w:val="22"/>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Sempre al fine di osservare il principio del risultato, nel nuovo Codice il RUP – Responsabile Unico del Procedimento diventa RUP – Responsabile Unico del Progetto. Infatti le stazioni appaltanti, nel primo atto di avvio dell’intervento pubblico mediante contratto, nominano il RUP per le fasi di programmazione, progettazione, affidamento e per l’esecuzione di ciascuna procedura soggetta al codice. Il RUP sarà individuato tra i dipendenti in possesso dei requisiti di cui all’Allegato I.2 del D.lgs 36/2023 (art. 15 del D.lgs 36/2023).</w:t>
      </w:r>
      <w:r w:rsidDel="00000000" w:rsidR="00000000" w:rsidRPr="00000000">
        <w:rPr>
          <w:rtl w:val="0"/>
        </w:rPr>
      </w:r>
    </w:p>
    <w:p w:rsidR="00000000" w:rsidDel="00000000" w:rsidP="00000000" w:rsidRDefault="00000000" w:rsidRPr="00000000" w14:paraId="00000022">
      <w:pPr>
        <w:ind w:left="283.46456692913375" w:right="1213.937007874016" w:firstLine="0"/>
        <w:jc w:val="both"/>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In ogni caso il RUP, il cui nominativo va indicato nella determina di affidamento diretto, può nominare dei sub-responsabili di procedimento ed essere affiancato da una struttura di supporto «alla quale destinare</w:t>
      </w:r>
      <w:r w:rsidDel="00000000" w:rsidR="00000000" w:rsidRPr="00000000">
        <w:rPr>
          <w:rFonts w:ascii="Corbel" w:cs="Corbel" w:eastAsia="Corbel" w:hAnsi="Corbel"/>
          <w:sz w:val="22"/>
          <w:szCs w:val="22"/>
          <w:rtl w:val="0"/>
        </w:rPr>
        <w:t xml:space="preserve"> risorse finanziarie non superiori all’1 per cento dell’importo posto a base di gara per l’affidamento dire</w:t>
      </w:r>
      <w:r w:rsidDel="00000000" w:rsidR="00000000" w:rsidRPr="00000000">
        <w:rPr>
          <w:rFonts w:ascii="Corbel" w:cs="Corbel" w:eastAsia="Corbel" w:hAnsi="Corbel"/>
          <w:color w:val="000000"/>
          <w:sz w:val="22"/>
          <w:szCs w:val="22"/>
          <w:rtl w:val="0"/>
        </w:rPr>
        <w:t xml:space="preserve">tto da parte del RUP di incarichi di assistenza al medesimo» (art. 15, commi 4 e 6)</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Entro sei mesi (o prima, se si tratta di opere o servizi poco complessi, oppure entro un anno nei casi di particolare complessità) occorre procedere al collaudo dei lavori ovvero alla verifica di conformità per i servizi e per le forniture che è normalmente effettuata dal RUP o, se nominato, dal direttore dell’esecuzione. In caso di servizi e forniture ad elevato contenuto tecnologico o elevata complessità o innovazione, è possibile nominare uno o più verificatori della conformità diversi dal RUP o dal direttore dell’esecuzione del contratto (art. 116).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6 - Determina a contrarre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59"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L’Istituto Scolastico procede all’affidamento, a seconda delle soglie su indicate, previa Determina a contrarre di indizione della procedura di affidamento</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59"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La determina a contrarre è l’atto, di spettanza dirigenziale, con il quale la stazione appaltante di una pubblica amministrazione, manifesta la propria volontà di stipulare un contratto</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60"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Prima dell’avvio delle procedure di affidamento dei contratti pubblici, le stazioni appaltanti decretano o determinano di contrarre, individuando gli elementi essenziali del contratto e i criteri di selezione degli operatori economici e delle offerte (D.lgs. 36/2023, art. 17 - Fasi delle procedure di affidamento)</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60"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Prima dell’avvio delle procedure di affidamento dei contratti pubblici, di cui all’art. 3 del presente Regolamento, la stazione appaltante con apposito atto, adottano la decisione di contrarre, individuando gli elementi essenziali del contratto e i criteri di selezione degli operatori economici e delle offerte che contenga, in modo semplificato: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62" w:line="242.99999999999997"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 l’oggetto dell’affidamento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242"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b. l’importo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242"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c. il fornitore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d. le ragioni della scelta del fornitore, in particolare di essere in possesso di «documentate esperienze pregresse idonee all'esecuzione delle prestazioni contrattuali, anche individuati tra gli iscritti in elenchi o albi istituiti dalla stazione appaltante» (artt. 50 e 100 del D.lgs. 36/2023)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e. il possesso da parte sua dei requisiti di ordine generale (ai sensi art. 94 e successivi D.lgs 36/2023)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f. nonché il possesso dei requisiti di idoneità professionale, capacità economica finanziaria e capacità tecniche professionali (di cui art. 100 e successivi del D.lgs 36/2023), ove richiesti</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La procedura prende avvio con la determina a contrarre ovvero con atto a essa equivalente. In applicazione dei principi di imparzialità, parità di trattamento, trasparenza, la determina a contrarre ovvero l’atto a essa equivalente contiene, almeno: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2"/>
        </w:tabs>
        <w:spacing w:after="0" w:before="57" w:line="242.99999999999997"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a.l’indicazione dell’interesse pubblico che si intende soddisfare;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2"/>
        </w:tabs>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b.le caratteristiche delle opere, dei beni, dei servizi che si intendono acquistare;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c.  l’importo massimo stimato dell’affidamento e la relativa copertura contabile;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2"/>
        </w:tabs>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d.  la procedura che si intende seguire con una sintetica indicazione delle ragioni;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2"/>
        </w:tabs>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e.  i criteri per la selezione degli operatori economici e delle offerte;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f.    le principali condizioni contrattuali</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60"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Nella Determina a contrarre, il Dirigente Scolastico può provvedere a individuare il Responsabile del Procedimento (RUP) per le fasi della programmazione, della progettazione, dell'affidamento, dell'esecuzione e un responsabile di procedimento per la fase di affidamento ai sensi dell’art. 15 del D.lgs. 36/2023.</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97"/>
        </w:tabs>
        <w:spacing w:after="0" w:before="60" w:line="240"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Il dirigente scolastico può delegare in tutto o in parte, ai sensi e per gli effetti dell’art. 17 c.</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1 bis del D.lgs. 165/01 e dell’art. 44 c. 3 del DI n. 129/2018, lo svolgimento di singole attività negoziali al D.S.G.A. o a uno dei propri collaboratori. Al D.S.G.A. compete, comunque, l’attività negoziale connessa alla gestione del fondo economale.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7 -Garanzie a corredo dell’offerta e garanzie definitive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L’art. 53 dlgs 36/2023 prevede che nelle procedure di affidamento di cui sopra, la stazione appaltante non richieda la garanzia provvisoria (art. 106 dlgs  36/2023), salvo che, nelle procedure di cui alle lettera c, d ed e, in considerazione della tipologia e specificità della singola procedura, ricorrano particolari esigenze che ne giustifichino la richiesta.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Le esigenze particolari sono indicate nella decisione di contrarre oppure nell’avviso di indizione della procedura o in altro atto equivalente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1"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Quando è richiesta la garanzia provvisoria, il relativo ammontare non può superare l’1% dell’importo previsto nell’avviso o nell’invito per il contratto oggetto di affidamento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  La garanzia provvisoria può essere costituita sotto forma di cauzione oppure di</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fideiussione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2"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In casi debitamente motivati è facoltà della stazione appaltante non richiedere la garanzia definitiva per l’esecuzione dei contratti. Quando richiesta, la garanzia definitiva è pari al 5% dell’importo contrattuale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ind w:left="283.46456692913375" w:right="1213.937007874016" w:firstLine="0"/>
        <w:jc w:val="both"/>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8 - Attività istruttoria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In seguito all'acquisizione della determina a contrarre, il DSGA procede ad istruire l'attività negoziale sulla base delle indicazioni ricevute dal DS e di cui al presente Regolamento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2"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Se il prodotto o servizio è reperibile nel catalogo delle convenzioni CONSIP, il contratto può essere sottoscritto direttamente dal Dirigente Scolastico previa Determina a Contrarre, in quanto tutta la fase istruttoria è già stata svolta da CONSIP SpA per conto del Ministero dell'Economia e Delle Finanze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Se il prodotto o servizio è invece reperibile nei cataloghi MEPA (Mercato Elettronico della Pubblica Amministrazione) </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così come presenti sul portale </w:t>
      </w:r>
      <w:hyperlink r:id="rId7">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www.acquistinretepa.it</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l'Istituto potrà effettuare istruttoria di acquisto tra le offerte ivi presenti, quindi tramite comparazione delle offerte del medesimo prodotto e selezionando per l'acquisto quella al prezzo più basso, ovvero tramite richiesta di offerta se trattasi di prodotti dei quali non è possibile effettuare un confronto omogeneo, sempre nel rispetto delle procedure di ogni soglia di valore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9- Strumenti di acquisto e di negoziazione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Per l’affidamento di lavori, servizi e forniture, le istituzioni scolastiche ricorrono agli strumenti di acquisto e di negoziazione, anche telematici, messi a disposizione da CONSIP S.p.A.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Fermo restando l’obbligo di acquisizione in forma centralizzata previsti dalla normativa vigente, le</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istituzioni scolastiche possono,</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altresì,</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espletare procedure di affidamento in forma associata, mediante la costituzione di reti di scuole o l’adesione a reti già esistenti, ovvero espletare procedure di affidamento in via autonoma (Art. 46, DI 129/2018).</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spacing w:before="1" w:lineRule="auto"/>
        <w:ind w:left="283.46456692913375" w:right="1213.937007874016" w:firstLine="0"/>
        <w:rPr>
          <w:rFonts w:ascii="Corbel" w:cs="Corbel" w:eastAsia="Corbel" w:hAnsi="Corbel"/>
          <w:sz w:val="22"/>
          <w:szCs w:val="22"/>
        </w:rPr>
      </w:pPr>
      <w:r w:rsidDel="00000000" w:rsidR="00000000" w:rsidRPr="00000000">
        <w:rPr>
          <w:rtl w:val="0"/>
        </w:rPr>
      </w:r>
    </w:p>
    <w:p w:rsidR="00000000" w:rsidDel="00000000" w:rsidP="00000000" w:rsidRDefault="00000000" w:rsidRPr="00000000" w14:paraId="0000004C">
      <w:pPr>
        <w:pStyle w:val="Heading1"/>
        <w:spacing w:before="1"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10- Accordi di rete per gli affidamenti e gli acquisti</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Gli accordi di rete aventi ad oggetto la gestione comune di funzioni ed attività amministrativo- contabili, ovvero la gestione comune delle procedure connesse agli affidamenti di lavori, beni e servizi e agli acquisti possono espressamente prevedere la delega delle relative funzioni al dirigente dell’istituzione scolastica individuata quale «capofila», che, per le attività indicate nel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singolo accordo ed entro i limiti stabiliti dal medesimo, assume, nei confronti dei terzi estranei alla pubblica amministrazione, la rappresentanza di tutte le istituzioni scolastiche che ne fanno parte e le connesse responsabilità (Art. 47, DI 129/2018)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11 - Acquisti extra consip e mepa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L’attivazione di una procedura di acquisto fuori convenzione CONSIP, deve essere subordinata alla preliminare verifica da parte del DSGA della presenza o meno del bene/servizio/insieme di beni e servizi richiesti nell’ambito delle convenzioni CONSIP ovvero ad una analisi di convenienza comparativa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Resta pertanto possibile procedere ad acquisti “extra Consip” mediante ordinaria contrattazione nelle seguenti ipotesi: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 in caso di indisponibilità di convenzione attiva Consip aventi ad oggetto il bene o il servizio da acquistare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7"/>
        </w:tabs>
        <w:spacing w:after="0" w:before="0" w:line="242.99999999999997"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b. in caso di minimi di acquisto superiori a quanto necessario per la scuola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c. qualora il bene o il servizio oggetto di convenzione non sia disponibile o idoneo al soddisfacimento dello specifico fabbisogno dell'amministrazione per mancanza di caratteristiche essenziali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Inoltre si precisa che per tutti i contratti stipulati mediante procedure autonome, al di fuori delle convenzioni Consip, si procederà ad esercitare la facoltà di recesso se l’operatore economico non acconsentirà a modificare il contratto secondo le condizioni migliorative fornite da Consip con convenzioni sopraggiunte successivamente alla stipula del contratto.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spacing w:before="1"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12 - Acquisti dei beni e servizi informatici e di connettività</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2"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La Legge n. 208/2015 all'art. 1, c. 512, per la categoria merceologica relativa ai servizi e ai beni informatici e di connettività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Per tali categorie merceologiche, l’obbligo di ricorrere a strumenti messi a disposizione da Consip (ad es., Me.PA.) si riferisce agli acquisti di qualsiasi valore, anche a quelli di importo inferiore a 5.000 euro, non risultando in tali casi applicabile l’esonero previsto dall’art. 1, c. 450 della L.296/2006 (come modificato dall’art. 1, c. 130 della legge n. 145/2018)</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283.46456692913375" w:right="1213.937007874016" w:firstLine="0"/>
        <w:jc w:val="both"/>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13 - Principio di rotazione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In ogni caso l’affidamento deve rispettare il principio di rotazione degli affidamenti, contenuto nell’art. 49 del D.lgs 36/2023. Il suddetto principio, in base al nuovo Codice dei Contratti Pubblici pone le condizioni per una serie di possibili deroghe e disapplicazioni:</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5"/>
        </w:tabs>
        <w:spacing w:after="0" w:before="63" w:line="228"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a) in caso di affidamento (allo stesso operatore economico) per un settore merceologico diverso dal precedente: ad esempio, fornitura di attrezzature informatiche e successiva fornitura di arredi</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5"/>
        </w:tabs>
        <w:spacing w:after="0" w:before="63" w:line="228"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b) in casi motivati (struttura del mercato, effettiva assenza di alternative, accurata esecuzione del precedente contratto)</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5"/>
        </w:tabs>
        <w:spacing w:after="0" w:before="63" w:line="228"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c) nel caso di affidamento diretto per importi inferiori a 5 mila euro</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5"/>
        </w:tabs>
        <w:spacing w:after="0" w:before="63" w:line="228" w:lineRule="auto"/>
        <w:ind w:left="283.46456692913375" w:right="1213.937007874016" w:firstLine="0"/>
        <w:jc w:val="both"/>
        <w:rPr>
          <w:rFonts w:ascii="Corbel" w:cs="Corbel" w:eastAsia="Corbel" w:hAnsi="Corbel"/>
          <w:i w:val="0"/>
          <w:smallCaps w:val="0"/>
          <w:strike w:val="0"/>
          <w:color w:val="000000"/>
          <w:sz w:val="22"/>
          <w:szCs w:val="22"/>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d)in caso di diversa fascia economica :</w:t>
      </w:r>
    </w:p>
    <w:p w:rsidR="00000000" w:rsidDel="00000000" w:rsidP="00000000" w:rsidRDefault="00000000" w:rsidRPr="00000000" w14:paraId="00000062">
      <w:pPr>
        <w:ind w:left="283.46456692913375" w:right="1213.937007874016" w:firstLine="0"/>
        <w:jc w:val="both"/>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Ai fini della rotazione degli operatori economici negli inviti e negli affidamenti di servizi e forniture, sono individuate le seguenti fasce di importo in base alle quali il contraente uscente può   essere affidatario di un nuovo contratto, anche dello stesso settore merceologico, il cui valore rientri in una fascia diversa:</w:t>
      </w:r>
      <w:r w:rsidDel="00000000" w:rsidR="00000000" w:rsidRPr="00000000">
        <w:rPr>
          <w:rtl w:val="0"/>
        </w:rPr>
      </w:r>
    </w:p>
    <w:p w:rsidR="00000000" w:rsidDel="00000000" w:rsidP="00000000" w:rsidRDefault="00000000" w:rsidRPr="00000000" w14:paraId="00000063">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 da € 0                a €     4.999,99</w:t>
      </w:r>
      <w:r w:rsidDel="00000000" w:rsidR="00000000" w:rsidRPr="00000000">
        <w:rPr>
          <w:rtl w:val="0"/>
        </w:rPr>
      </w:r>
    </w:p>
    <w:p w:rsidR="00000000" w:rsidDel="00000000" w:rsidP="00000000" w:rsidRDefault="00000000" w:rsidRPr="00000000" w14:paraId="00000064">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5.000,00  a €   19.999,99</w:t>
      </w:r>
      <w:r w:rsidDel="00000000" w:rsidR="00000000" w:rsidRPr="00000000">
        <w:rPr>
          <w:rtl w:val="0"/>
        </w:rPr>
      </w:r>
    </w:p>
    <w:p w:rsidR="00000000" w:rsidDel="00000000" w:rsidP="00000000" w:rsidRDefault="00000000" w:rsidRPr="00000000" w14:paraId="00000065">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20.000,00  a €   39.999,99</w:t>
      </w:r>
      <w:r w:rsidDel="00000000" w:rsidR="00000000" w:rsidRPr="00000000">
        <w:rPr>
          <w:rtl w:val="0"/>
        </w:rPr>
      </w:r>
    </w:p>
    <w:p w:rsidR="00000000" w:rsidDel="00000000" w:rsidP="00000000" w:rsidRDefault="00000000" w:rsidRPr="00000000" w14:paraId="00000066">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40.000,00  a €   69.999,99</w:t>
      </w:r>
      <w:r w:rsidDel="00000000" w:rsidR="00000000" w:rsidRPr="00000000">
        <w:rPr>
          <w:rtl w:val="0"/>
        </w:rPr>
      </w:r>
    </w:p>
    <w:p w:rsidR="00000000" w:rsidDel="00000000" w:rsidP="00000000" w:rsidRDefault="00000000" w:rsidRPr="00000000" w14:paraId="00000067">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70.000,00  a €   99.999,99</w:t>
      </w:r>
      <w:r w:rsidDel="00000000" w:rsidR="00000000" w:rsidRPr="00000000">
        <w:rPr>
          <w:rtl w:val="0"/>
        </w:rPr>
      </w:r>
    </w:p>
    <w:p w:rsidR="00000000" w:rsidDel="00000000" w:rsidP="00000000" w:rsidRDefault="00000000" w:rsidRPr="00000000" w14:paraId="00000068">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€ 100.000,00  a € 129.999,99</w:t>
      </w:r>
      <w:r w:rsidDel="00000000" w:rsidR="00000000" w:rsidRPr="00000000">
        <w:rPr>
          <w:rtl w:val="0"/>
        </w:rPr>
      </w:r>
    </w:p>
    <w:p w:rsidR="00000000" w:rsidDel="00000000" w:rsidP="00000000" w:rsidRDefault="00000000" w:rsidRPr="00000000" w14:paraId="00000069">
      <w:pPr>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 da € 130.000,00  a € 150.000,00</w:t>
      </w:r>
      <w:r w:rsidDel="00000000" w:rsidR="00000000" w:rsidRPr="00000000">
        <w:rPr>
          <w:rtl w:val="0"/>
        </w:rPr>
      </w:r>
    </w:p>
    <w:p w:rsidR="00000000" w:rsidDel="00000000" w:rsidP="00000000" w:rsidRDefault="00000000" w:rsidRPr="00000000" w14:paraId="0000006A">
      <w:pPr>
        <w:spacing w:before="5" w:lineRule="auto"/>
        <w:ind w:left="0" w:right="1213.937007874016" w:firstLine="0"/>
        <w:rPr>
          <w:rFonts w:ascii="Corbel" w:cs="Corbel" w:eastAsia="Corbel" w:hAnsi="Corbel"/>
          <w:i w:val="1"/>
          <w:sz w:val="22"/>
          <w:szCs w:val="22"/>
        </w:rPr>
      </w:pPr>
      <w:r w:rsidDel="00000000" w:rsidR="00000000" w:rsidRPr="00000000">
        <w:rPr>
          <w:rtl w:val="0"/>
        </w:rPr>
      </w:r>
    </w:p>
    <w:p w:rsidR="00000000" w:rsidDel="00000000" w:rsidP="00000000" w:rsidRDefault="00000000" w:rsidRPr="00000000" w14:paraId="0000006B">
      <w:pPr>
        <w:spacing w:before="5" w:lineRule="auto"/>
        <w:ind w:left="283.46456692913375" w:right="1213.937007874016" w:firstLine="0"/>
        <w:rPr>
          <w:rFonts w:ascii="Corbel" w:cs="Corbel" w:eastAsia="Corbel" w:hAnsi="Corbel"/>
          <w:i w:val="1"/>
          <w:sz w:val="22"/>
          <w:szCs w:val="22"/>
        </w:rPr>
      </w:pPr>
      <w:r w:rsidDel="00000000" w:rsidR="00000000" w:rsidRPr="00000000">
        <w:rPr>
          <w:rtl w:val="0"/>
        </w:rPr>
      </w:r>
    </w:p>
    <w:p w:rsidR="00000000" w:rsidDel="00000000" w:rsidP="00000000" w:rsidRDefault="00000000" w:rsidRPr="00000000" w14:paraId="0000006C">
      <w:pPr>
        <w:spacing w:before="5" w:lineRule="auto"/>
        <w:ind w:left="283.46456692913375" w:right="1213.937007874016" w:firstLine="0"/>
        <w:jc w:val="center"/>
        <w:rPr>
          <w:rFonts w:ascii="Corbel" w:cs="Corbel" w:eastAsia="Corbel" w:hAnsi="Corbel"/>
          <w:b w:val="1"/>
          <w:sz w:val="22"/>
          <w:szCs w:val="22"/>
        </w:rPr>
      </w:pPr>
      <w:r w:rsidDel="00000000" w:rsidR="00000000" w:rsidRPr="00000000">
        <w:rPr>
          <w:rFonts w:ascii="Corbel" w:cs="Corbel" w:eastAsia="Corbel" w:hAnsi="Corbel"/>
          <w:b w:val="1"/>
          <w:color w:val="000000"/>
          <w:sz w:val="22"/>
          <w:szCs w:val="22"/>
          <w:rtl w:val="0"/>
        </w:rPr>
        <w:t xml:space="preserve">Art. 14 - Controllo sul possesso dei requisiti</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Ai sensi dell’art. </w:t>
      </w:r>
      <w:bookmarkStart w:colFirst="0" w:colLast="0" w:name="bookmark=id.gjdgxs" w:id="0"/>
      <w:bookmarkEnd w:id="0"/>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99. del dlgs 36/2023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1. La stazione appaltante verifica l’assenza di cause di esclusione automatiche di cui all’</w:t>
      </w:r>
      <w:hyperlink r:id="rId8">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94</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attraverso la consultazione del fascicolo virtuale dell’operatore economico di cui all’</w:t>
      </w:r>
      <w:hyperlink r:id="rId9">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24</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la consultazione degli altri documenti allegati dall’operatore economico, nonché tramite l’interoperabilità con la piattaforma digitale nazionale dati di cui all’</w:t>
      </w:r>
      <w:hyperlink r:id="rId10">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50-ter del codice dell'amministrazione digitale, di cui al decreto legislativo 7 marzo 2005, n. 82</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e con le banche dati delle pubbliche amministrazioni.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2. La stazione appaltante, con le medesime modalità di cui al comma 1, verifica l’assenza delle cause di esclusione non automatica di cui all’</w:t>
      </w:r>
      <w:hyperlink r:id="rId11">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95</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e il possesso dei requisiti di partecipazione di cui agli </w:t>
      </w:r>
      <w:hyperlink r:id="rId12">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articoli 100</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e </w:t>
      </w:r>
      <w:hyperlink r:id="rId13">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103</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3. Agli operatori economici non possono essere richiesti documenti che comprovano il possesso dei requisiti di partecipazione o altra documentazione utile ai fini dell’aggiudicazione, se questi sono presenti nel fascicolo virtuale dell’operatore economico, sono già in possesso della stazione appaltante, per effetto di una precedente aggiudicazione o conclusione di un accordo quadro, ovvero possono essere acquisiti tramite interoperabilità con la piattaforma digitale nazionale dati di cui all’</w:t>
      </w:r>
      <w:hyperlink r:id="rId14">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50-ter del codice di cui al decreto legislativo n. 82 del 2005</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e con le banche dati delle pubbliche amministrazioni.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4. Ai sensi dell’art. 52 del nuovo Codice dei Contratti Pubblici, nelle procedure di affidamento di cui all’art. 50, comma 1, lettera a e b del D.lgs.36/2023, di importo inferiore a 40.000 euro, gli operatori economici attestano con dichiarazione sostitutiva di atto di notorietà il possesso dei requisiti di partecipazione e di qualificazione richiesti. La stazione appaltante verifica le dichiarazioni, anche previo sorteggio di un campione individuato con modalità predeterminate ogni anno.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12 dodici mesi decorrenti dall’adozione del provvedimento.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center"/>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Art. 15- Termini di aggiudicazione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Ai sensi dell’art. 55 del Codice, la stipulazione del contratto deve avvenire entro 30 trenta giorni dall’aggiudicazione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1"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 termini dilatori previsti dall’art. 18, comma 3 del D. lgs. 36/2023, non si applicano ai contratti inferiori alle soglie di rilevanza europea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16- La stipula del contratto</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Secondo l’art. 18 del D.lgs. 36/2023, il contratto è stipulato, a pena di nullità, in forma scritta in modalità elettronica nel rispetto delle pertinenti disposizioni del Codice dell’amministrazione digitale, in forma pubblica amministrativa a cura dell’ufficiale rogante della stazione appaltante, con atto pubblico notarile informatico oppure mediante scrittura privata</w:t>
      </w:r>
    </w:p>
    <w:p w:rsidR="00000000" w:rsidDel="00000000" w:rsidP="00000000" w:rsidRDefault="00000000" w:rsidRPr="00000000" w14:paraId="0000007A">
      <w:pPr>
        <w:spacing w:before="60" w:lineRule="auto"/>
        <w:ind w:left="283.46456692913375" w:right="1213.937007874016" w:firstLine="0"/>
        <w:jc w:val="both"/>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La stipula del contratto, nel caso di procedura negoziata oppure per affidamenti diretti, avviene «mediante corrispondenza secondo l'uso commerciale, consistente in un apposito scambio di lettere, anche tramite posta elettronica certificata o sistemi elettronici di recapito certificato qualificato» (art. 18, comma 1 del D.lgs. 36/2023).</w:t>
      </w:r>
      <w:r w:rsidDel="00000000" w:rsidR="00000000" w:rsidRPr="00000000">
        <w:rPr>
          <w:rtl w:val="0"/>
        </w:rPr>
      </w:r>
    </w:p>
    <w:p w:rsidR="00000000" w:rsidDel="00000000" w:rsidP="00000000" w:rsidRDefault="00000000" w:rsidRPr="00000000" w14:paraId="0000007B">
      <w:pPr>
        <w:spacing w:before="60" w:lineRule="auto"/>
        <w:ind w:left="283.46456692913375" w:right="1213.937007874016" w:firstLine="0"/>
        <w:jc w:val="both"/>
        <w:rPr>
          <w:rFonts w:ascii="Corbel" w:cs="Corbel" w:eastAsia="Corbel" w:hAnsi="Corbel"/>
          <w:i w:val="1"/>
          <w:sz w:val="22"/>
          <w:szCs w:val="22"/>
        </w:rPr>
      </w:pPr>
      <w:r w:rsidDel="00000000" w:rsidR="00000000" w:rsidRPr="00000000">
        <w:rPr>
          <w:rtl w:val="0"/>
        </w:rPr>
      </w:r>
    </w:p>
    <w:p w:rsidR="00000000" w:rsidDel="00000000" w:rsidP="00000000" w:rsidRDefault="00000000" w:rsidRPr="00000000" w14:paraId="0000007C">
      <w:pPr>
        <w:pStyle w:val="Heading1"/>
        <w:keepNext w:val="1"/>
        <w:spacing w:before="58"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17 - Collaudo e verifica di conformità o certificato di regolare esecuzione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
        </w:tabs>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Ai sensi dell’art  Art. </w:t>
      </w:r>
      <w:bookmarkStart w:colFirst="0" w:colLast="0" w:name="bookmark=id.30j0zll" w:id="1"/>
      <w:bookmarkEnd w:id="1"/>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116. del dlgs 36/2023:</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1. I contratti sono soggetti a collaudo per i lavori e a verifica di conformità per i servizi e per le forniture per certificare il rispetto delle caratteristiche tecniche, economiche e qualitative dei lavori e delle prestazioni, nonché degli obiettivi e dei tempi, in conformità delle previsioni e pattuizioni contrattuali.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2. Il collaudo finale o la verifica di conformità deve essere completato non oltre sei mesi dall'ultimazione dei lavori o delle prestazioni, salvi i casi, individuati dall’</w:t>
      </w:r>
      <w:hyperlink r:id="rId15">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allegato II.14</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del dlgs 36/2023, di particolare complessità, per i quali il termine può essere elevato sino ad un anno. Nella lettera d’incarico, in presenza di opere o servizi di limitata complessità, i tempi possono essere ridotti. Il certificato di collaudo ha carattere provvisorio e assume carattere definitivo dopo due anni dalla sua emissione. Decorso tale termine, il collaudo si intende tacitamente approvato</w:t>
      </w: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 ancorché l'atto formale di approvazione non sia stato emesso entro due mesi dalla scadenza del medesimo termine.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3. Salvo quanto disposto dall'</w:t>
      </w:r>
      <w:hyperlink r:id="rId16">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articolo 1669 del codice civile</w:t>
        </w:r>
      </w:hyperlink>
      <w:r w:rsidDel="00000000" w:rsidR="00000000" w:rsidRPr="00000000">
        <w:rPr>
          <w:rFonts w:ascii="Corbel" w:cs="Corbel" w:eastAsia="Corbel" w:hAnsi="Corbel"/>
          <w:i w:val="1"/>
          <w:smallCaps w:val="0"/>
          <w:strike w:val="0"/>
          <w:color w:val="000000"/>
          <w:sz w:val="22"/>
          <w:szCs w:val="22"/>
          <w:u w:val="none"/>
          <w:shd w:fill="auto" w:val="clear"/>
          <w:vertAlign w:val="baseline"/>
          <w:rtl w:val="0"/>
        </w:rPr>
        <w:t xml:space="preserve">, l'appaltatore risponde per la difformità e i vizi dell'opera, ancorché riconoscibili, </w:t>
      </w: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purché denunciati dalla stazione appaltante prima che il certificato di collaudo assuma carattere definitivo.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4. Per effettuare le attività di collaudo dei lavori le stazioni appaltanti che sono amministrazioni pubbliche nominano da uno a tre collaudatori scelti tra i propri dipendenti o tra i dipendenti di altre amministrazioni pubbliche, con qualificazione rapportata alla tipologia e caratteristica del contratto, in possesso dei requisiti di moralità, competenza e professionalità. I collaudatori dipendenti della stessa amministrazione appartengono a strutture funzionalmente indipendenti. Il compenso spettante per l'attività di collaudo è contenuto per i dipendenti della stessa amministrazione nell'ambito dell'incentivo di cui all'articolo 45, mentre per i dipendenti di altre amministrazioni pubbliche è determinato ai sensi della normativa applicabile alle stazioni appaltanti e nel rispetto delle disposizioni di cui all'</w:t>
      </w:r>
      <w:hyperlink r:id="rId17">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articolo 61, comma 9, del decreto-legge 25 giugno 2008, n. 112, convertito, con modificazioni, dalla legge 6 agosto 2008, n. 133</w:t>
        </w:r>
      </w:hyperlink>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 Tra i dipendenti della stazione appaltante oppure tra i dipendenti delle altre amministrazioni è individuato anche il collaudatore delle strutture per la redazione del collaudo statico. Per accertata carenza nell'organico della stazione appaltante, oppure di altre amministrazioni pubbliche, o nei casi di particolare complessità tecnica, la stazione appaltante affida l’incarico con le modalità previste dal codice.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5. Per i contratti di servizi e forniture la verifica di conformità è effettuata dal RUP o, se nominato, dal direttore dell’esecuzione. Per servizi e forniture caratterizzati da elevato contenuto tecnologico oppure da elevata complessità o innovazione, le stazioni appaltanti possono prevedere la nomina di uno o più verificatori della conformità diversi dal RUP o dal direttore dell’esecuzione del contratto. Per la nomina e il compenso dei verificatori si applica il comma 4.</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6. Non possono essere affidati incarichi di collaudo e di verifica di conformità:</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a) ai magistrati ordinari, amministrativi e contabili, e agli avvocati e procuratori dello Stato, in attività di servizio e, per appalti di lavori pubblici di importo pari o superiore alle soglie di rilevanza europea, a quelli in quiescenza nella regione o nelle regioni dove è stata svolta l'attività di servizio;</w:t>
        <w:br w:type="textWrapping"/>
        <w:t xml:space="preserve">b) ai dipendenti appartenenti ai ruoli della pubblica amministrazione in servizio oppure in trattamento di quiescenza, per appalti di lavori pubblici di importo pari o superiore alle soglie di rilevanza europea ubicati nella regione o nelle regioni dove è svolta per i dipendenti in servizio oppure è stata svolta per quelli in quiescenza, l'attività di servizio;</w:t>
        <w:br w:type="textWrapping"/>
        <w:t xml:space="preserve">c) a coloro che nel triennio antecedente hanno avuto rapporti di lavoro autonomo o subordinato con gli operatori economici a qualsiasi titolo coinvolti nell'esecuzione del contratto;</w:t>
        <w:br w:type="textWrapping"/>
        <w:t xml:space="preserve">d) a coloro che hanno comunque svolto o svolgono attività di controllo, verifica, progettazione, approvazione, autorizzazione, vigilanza o direzione sul contratto da collaudare;</w:t>
        <w:br w:type="textWrapping"/>
        <w:t xml:space="preserve">e) a coloro che hanno partecipato alla procedura di gara.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18 - Disposizioni finali</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Per quanto non espressamente previsto nel presente regolamento si applicano le disposizioni normative nazionali e comunitarie in materia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Sono disapplicate le disposizioni del regolamento in contrasto con le suddette norme nazionali e comunitarie già in vigore e con quelle che eventualmente entreranno in vigore successivamente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Tutte le delibere precedentemente adottate dal Consiglio d’istituto novellate dal presente regolamento si intendono abrogate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spacing w:line="242.99999999999997" w:lineRule="auto"/>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19 - Entrata in vigore e applicazione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both"/>
        <w:rPr>
          <w:rFonts w:ascii="Corbel" w:cs="Corbel" w:eastAsia="Corbel" w:hAnsi="Corbel"/>
          <w:i w:val="0"/>
          <w:smallCaps w:val="0"/>
          <w:strike w:val="0"/>
          <w:color w:val="000000"/>
          <w:sz w:val="22"/>
          <w:szCs w:val="22"/>
          <w:u w:val="none"/>
          <w:shd w:fill="auto" w:val="clear"/>
          <w:vertAlign w:val="baseline"/>
        </w:rPr>
      </w:pPr>
      <w:r w:rsidDel="00000000" w:rsidR="00000000" w:rsidRPr="00000000">
        <w:rPr>
          <w:rFonts w:ascii="Corbel" w:cs="Corbel" w:eastAsia="Corbel" w:hAnsi="Corbel"/>
          <w:i w:val="0"/>
          <w:smallCaps w:val="0"/>
          <w:strike w:val="0"/>
          <w:color w:val="000000"/>
          <w:sz w:val="22"/>
          <w:szCs w:val="22"/>
          <w:u w:val="none"/>
          <w:shd w:fill="auto" w:val="clear"/>
          <w:vertAlign w:val="baseline"/>
          <w:rtl w:val="0"/>
        </w:rPr>
        <w:t xml:space="preserve">Il presente regolamento entra in vigore il giorno successivo alla approvazione da parte del Consiglio d’istituto</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1213.937007874016"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1"/>
        <w:ind w:left="283.46456692913375" w:right="1213.937007874016" w:firstLine="0"/>
        <w:rPr>
          <w:rFonts w:ascii="Corbel" w:cs="Corbel" w:eastAsia="Corbel" w:hAnsi="Corbel"/>
          <w:sz w:val="22"/>
          <w:szCs w:val="22"/>
        </w:rPr>
      </w:pPr>
      <w:r w:rsidDel="00000000" w:rsidR="00000000" w:rsidRPr="00000000">
        <w:rPr>
          <w:rFonts w:ascii="Corbel" w:cs="Corbel" w:eastAsia="Corbel" w:hAnsi="Corbel"/>
          <w:color w:val="000000"/>
          <w:sz w:val="22"/>
          <w:szCs w:val="22"/>
          <w:rtl w:val="0"/>
        </w:rPr>
        <w:t xml:space="preserve">Art. 20- Pubblicità del regolamento</w:t>
      </w:r>
      <w:r w:rsidDel="00000000" w:rsidR="00000000" w:rsidRPr="00000000">
        <w:rPr>
          <w:rtl w:val="0"/>
        </w:rPr>
      </w:r>
    </w:p>
    <w:p w:rsidR="00000000" w:rsidDel="00000000" w:rsidP="00000000" w:rsidRDefault="00000000" w:rsidRPr="00000000" w14:paraId="0000008F">
      <w:pPr>
        <w:pStyle w:val="Heading1"/>
        <w:ind w:left="283.46456692913375" w:right="1213.937007874016" w:firstLine="0"/>
        <w:jc w:val="both"/>
        <w:rPr>
          <w:rFonts w:ascii="Corbel" w:cs="Corbel" w:eastAsia="Corbel" w:hAnsi="Corbel"/>
          <w:b w:val="0"/>
          <w:sz w:val="22"/>
          <w:szCs w:val="22"/>
        </w:rPr>
      </w:pPr>
      <w:r w:rsidDel="00000000" w:rsidR="00000000" w:rsidRPr="00000000">
        <w:rPr>
          <w:rFonts w:ascii="Corbel" w:cs="Corbel" w:eastAsia="Corbel" w:hAnsi="Corbel"/>
          <w:b w:val="0"/>
          <w:color w:val="000000"/>
          <w:sz w:val="22"/>
          <w:szCs w:val="22"/>
          <w:rtl w:val="0"/>
        </w:rPr>
        <w:t xml:space="preserve">Il presente regolamento viene pubblicato nel sito istituzionale dell’Istituzione Scolastica nelle sezioni “Albo on line”, “Regolamenti” ed “Amministrazione Trasparente/Bandi di gara e contratti”</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9" w:line="360" w:lineRule="auto"/>
        <w:ind w:left="0" w:right="0" w:firstLine="0"/>
        <w:jc w:val="left"/>
        <w:rPr>
          <w:rFonts w:ascii="Corbel" w:cs="Corbel" w:eastAsia="Corbel" w:hAnsi="Corbe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spacing w:line="360" w:lineRule="auto"/>
        <w:jc w:val="both"/>
        <w:rPr>
          <w:i w:val="1"/>
          <w:sz w:val="18"/>
          <w:szCs w:val="18"/>
        </w:rPr>
      </w:pPr>
      <w:r w:rsidDel="00000000" w:rsidR="00000000" w:rsidRPr="00000000">
        <w:rPr>
          <w:rtl w:val="0"/>
        </w:rPr>
      </w:r>
    </w:p>
    <w:p w:rsidR="00000000" w:rsidDel="00000000" w:rsidP="00000000" w:rsidRDefault="00000000" w:rsidRPr="00000000" w14:paraId="00000092">
      <w:pPr>
        <w:spacing w:line="360" w:lineRule="auto"/>
        <w:jc w:val="both"/>
        <w:rPr>
          <w:i w:val="1"/>
          <w:sz w:val="18"/>
          <w:szCs w:val="18"/>
        </w:rPr>
      </w:pPr>
      <w:r w:rsidDel="00000000" w:rsidR="00000000" w:rsidRPr="00000000">
        <w:rPr>
          <w:rtl w:val="0"/>
        </w:rPr>
      </w:r>
    </w:p>
    <w:p w:rsidR="00000000" w:rsidDel="00000000" w:rsidP="00000000" w:rsidRDefault="00000000" w:rsidRPr="00000000" w14:paraId="00000093">
      <w:pPr>
        <w:spacing w:line="360" w:lineRule="auto"/>
        <w:jc w:val="both"/>
        <w:rPr>
          <w:i w:val="1"/>
          <w:sz w:val="18"/>
          <w:szCs w:val="18"/>
        </w:rPr>
      </w:pPr>
      <w:r w:rsidDel="00000000" w:rsidR="00000000" w:rsidRPr="00000000">
        <w:rPr>
          <w:rtl w:val="0"/>
        </w:rPr>
      </w:r>
    </w:p>
    <w:p w:rsidR="00000000" w:rsidDel="00000000" w:rsidP="00000000" w:rsidRDefault="00000000" w:rsidRPr="00000000" w14:paraId="00000094">
      <w:pPr>
        <w:spacing w:line="360" w:lineRule="auto"/>
        <w:jc w:val="both"/>
        <w:rPr>
          <w:i w:val="1"/>
          <w:sz w:val="18"/>
          <w:szCs w:val="18"/>
        </w:rPr>
      </w:pPr>
      <w:r w:rsidDel="00000000" w:rsidR="00000000" w:rsidRPr="00000000">
        <w:rPr>
          <w:rtl w:val="0"/>
        </w:rPr>
      </w:r>
    </w:p>
    <w:p w:rsidR="00000000" w:rsidDel="00000000" w:rsidP="00000000" w:rsidRDefault="00000000" w:rsidRPr="00000000" w14:paraId="00000095">
      <w:pPr>
        <w:spacing w:line="360" w:lineRule="auto"/>
        <w:jc w:val="both"/>
        <w:rPr>
          <w:i w:val="1"/>
          <w:sz w:val="18"/>
          <w:szCs w:val="18"/>
        </w:rPr>
      </w:pPr>
      <w:r w:rsidDel="00000000" w:rsidR="00000000" w:rsidRPr="00000000">
        <w:rPr>
          <w:rtl w:val="0"/>
        </w:rPr>
      </w:r>
    </w:p>
    <w:p w:rsidR="00000000" w:rsidDel="00000000" w:rsidP="00000000" w:rsidRDefault="00000000" w:rsidRPr="00000000" w14:paraId="00000096">
      <w:pPr>
        <w:tabs>
          <w:tab w:val="left" w:leader="none" w:pos="755"/>
          <w:tab w:val="left" w:leader="none" w:pos="756"/>
        </w:tabs>
        <w:rPr>
          <w:sz w:val="18"/>
          <w:szCs w:val="18"/>
        </w:rPr>
      </w:pPr>
      <w:r w:rsidDel="00000000" w:rsidR="00000000" w:rsidRPr="00000000">
        <w:rPr>
          <w:rtl w:val="0"/>
        </w:rPr>
      </w:r>
    </w:p>
    <w:sectPr>
      <w:headerReference r:id="rId18" w:type="default"/>
      <w:footerReference r:id="rId19" w:type="default"/>
      <w:pgSz w:h="16838" w:w="11906" w:orient="portrait"/>
      <w:pgMar w:bottom="993" w:top="1417" w:left="851" w:right="34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leader="none" w:pos="4819"/>
        <w:tab w:val="right" w:leader="none" w:pos="9638"/>
      </w:tabs>
      <w:ind w:left="-1134" w:right="-567" w:firstLine="0"/>
      <w:rPr/>
    </w:pPr>
    <w:r w:rsidDel="00000000" w:rsidR="00000000" w:rsidRPr="00000000">
      <w:rPr>
        <w:rFonts w:ascii="Cambria" w:cs="Cambria" w:eastAsia="Cambria" w:hAnsi="Cambria"/>
      </w:rPr>
      <w:drawing>
        <wp:inline distB="0" distT="0" distL="0" distR="0">
          <wp:extent cx="6800540" cy="9398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00540" cy="939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8404225" cy="1464945"/>
          <wp:effectExtent b="0" l="0" r="0" t="0"/>
          <wp:wrapSquare wrapText="bothSides" distB="0" distT="0" distL="114300" distR="114300"/>
          <wp:docPr descr="Carta intestata_dunilevi [Rev 6]" id="5" name="image1.jpg"/>
          <a:graphic>
            <a:graphicData uri="http://schemas.openxmlformats.org/drawingml/2006/picture">
              <pic:pic>
                <pic:nvPicPr>
                  <pic:cNvPr descr="Carta intestata_dunilevi [Rev 6]" id="0" name="image1.jpg"/>
                  <pic:cNvPicPr preferRelativeResize="0"/>
                </pic:nvPicPr>
                <pic:blipFill>
                  <a:blip r:embed="rId1"/>
                  <a:srcRect b="14342" l="7521" r="0" t="0"/>
                  <a:stretch>
                    <a:fillRect/>
                  </a:stretch>
                </pic:blipFill>
                <pic:spPr>
                  <a:xfrm>
                    <a:off x="0" y="0"/>
                    <a:ext cx="8404225" cy="1464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720" w:hanging="360"/>
      </w:pPr>
      <w:rPr/>
    </w:lvl>
    <w:lvl w:ilvl="1">
      <w:start w:val="1"/>
      <w:numFmt w:val="decimal"/>
      <w:lvlText w:val=""/>
      <w:lvlJc w:val="left"/>
      <w:pPr>
        <w:ind w:left="1080" w:hanging="360"/>
      </w:pPr>
      <w:rPr/>
    </w:lvl>
    <w:lvl w:ilvl="2">
      <w:start w:val="1"/>
      <w:numFmt w:val="decimal"/>
      <w:lvlText w:val=""/>
      <w:lvlJc w:val="left"/>
      <w:pPr>
        <w:ind w:left="1440" w:hanging="360"/>
      </w:pPr>
      <w:rPr/>
    </w:lvl>
    <w:lvl w:ilvl="3">
      <w:start w:val="1"/>
      <w:numFmt w:val="decimal"/>
      <w:lvlText w:val=""/>
      <w:lvlJc w:val="left"/>
      <w:pPr>
        <w:ind w:left="1800" w:hanging="360"/>
      </w:pPr>
      <w:rPr/>
    </w:lvl>
    <w:lvl w:ilvl="4">
      <w:start w:val="1"/>
      <w:numFmt w:val="decimal"/>
      <w:lvlText w:val=""/>
      <w:lvlJc w:val="left"/>
      <w:pPr>
        <w:ind w:left="2160" w:hanging="360"/>
      </w:pPr>
      <w:rPr/>
    </w:lvl>
    <w:lvl w:ilvl="5">
      <w:start w:val="1"/>
      <w:numFmt w:val="decimal"/>
      <w:lvlText w:val=""/>
      <w:lvlJc w:val="left"/>
      <w:pPr>
        <w:ind w:left="2520" w:hanging="360"/>
      </w:pPr>
      <w:rPr/>
    </w:lvl>
    <w:lvl w:ilvl="6">
      <w:start w:val="1"/>
      <w:numFmt w:val="decimal"/>
      <w:lvlText w:val=""/>
      <w:lvlJc w:val="left"/>
      <w:pPr>
        <w:ind w:left="2880" w:hanging="360"/>
      </w:pPr>
      <w:rPr/>
    </w:lvl>
    <w:lvl w:ilvl="7">
      <w:start w:val="1"/>
      <w:numFmt w:val="decimal"/>
      <w:lvlText w:val=""/>
      <w:lvlJc w:val="left"/>
      <w:pPr>
        <w:ind w:left="3240" w:hanging="360"/>
      </w:pPr>
      <w:rPr/>
    </w:lvl>
    <w:lvl w:ilvl="8">
      <w:start w:val="1"/>
      <w:numFmt w:val="decimal"/>
      <w:lvlText w:val=""/>
      <w:lvlJc w:val="left"/>
      <w:pPr>
        <w:ind w:left="3600" w:hanging="360"/>
      </w:pPr>
      <w:rPr/>
    </w:lvl>
  </w:abstractNum>
  <w:abstractNum w:abstractNumId="2">
    <w:lvl w:ilvl="0">
      <w:start w:val="1"/>
      <w:numFmt w:val="decimal"/>
      <w:lvlText w:val=""/>
      <w:lvlJc w:val="left"/>
      <w:pPr>
        <w:ind w:left="720" w:hanging="360"/>
      </w:pPr>
      <w:rPr/>
    </w:lvl>
    <w:lvl w:ilvl="1">
      <w:start w:val="1"/>
      <w:numFmt w:val="decimal"/>
      <w:lvlText w:val=""/>
      <w:lvlJc w:val="left"/>
      <w:pPr>
        <w:ind w:left="1080" w:hanging="360"/>
      </w:pPr>
      <w:rPr/>
    </w:lvl>
    <w:lvl w:ilvl="2">
      <w:start w:val="1"/>
      <w:numFmt w:val="decimal"/>
      <w:lvlText w:val=""/>
      <w:lvlJc w:val="left"/>
      <w:pPr>
        <w:ind w:left="1440" w:hanging="360"/>
      </w:pPr>
      <w:rPr/>
    </w:lvl>
    <w:lvl w:ilvl="3">
      <w:start w:val="1"/>
      <w:numFmt w:val="decimal"/>
      <w:lvlText w:val=""/>
      <w:lvlJc w:val="left"/>
      <w:pPr>
        <w:ind w:left="1800" w:hanging="360"/>
      </w:pPr>
      <w:rPr/>
    </w:lvl>
    <w:lvl w:ilvl="4">
      <w:start w:val="1"/>
      <w:numFmt w:val="decimal"/>
      <w:lvlText w:val=""/>
      <w:lvlJc w:val="left"/>
      <w:pPr>
        <w:ind w:left="2160" w:hanging="360"/>
      </w:pPr>
      <w:rPr/>
    </w:lvl>
    <w:lvl w:ilvl="5">
      <w:start w:val="1"/>
      <w:numFmt w:val="decimal"/>
      <w:lvlText w:val=""/>
      <w:lvlJc w:val="left"/>
      <w:pPr>
        <w:ind w:left="2520" w:hanging="360"/>
      </w:pPr>
      <w:rPr/>
    </w:lvl>
    <w:lvl w:ilvl="6">
      <w:start w:val="1"/>
      <w:numFmt w:val="decimal"/>
      <w:lvlText w:val=""/>
      <w:lvlJc w:val="left"/>
      <w:pPr>
        <w:ind w:left="2880" w:hanging="360"/>
      </w:pPr>
      <w:rPr/>
    </w:lvl>
    <w:lvl w:ilvl="7">
      <w:start w:val="1"/>
      <w:numFmt w:val="decimal"/>
      <w:lvlText w:val=""/>
      <w:lvlJc w:val="left"/>
      <w:pPr>
        <w:ind w:left="3240" w:hanging="360"/>
      </w:pPr>
      <w:rPr/>
    </w:lvl>
    <w:lvl w:ilvl="8">
      <w:start w:val="1"/>
      <w:numFmt w:val="decimal"/>
      <w:lvlText w:val=""/>
      <w:lvlJc w:val="left"/>
      <w:pPr>
        <w:ind w:left="3600" w:hanging="360"/>
      </w:pPr>
      <w:rPr/>
    </w:lvl>
  </w:abstractNum>
  <w:abstractNum w:abstractNumId="3">
    <w:lvl w:ilvl="0">
      <w:start w:val="1"/>
      <w:numFmt w:val="decimal"/>
      <w:lvlText w:val=""/>
      <w:lvlJc w:val="left"/>
      <w:pPr>
        <w:ind w:left="720" w:hanging="360"/>
      </w:pPr>
      <w:rPr/>
    </w:lvl>
    <w:lvl w:ilvl="1">
      <w:start w:val="1"/>
      <w:numFmt w:val="decimal"/>
      <w:lvlText w:val=""/>
      <w:lvlJc w:val="left"/>
      <w:pPr>
        <w:ind w:left="1080" w:hanging="360"/>
      </w:pPr>
      <w:rPr/>
    </w:lvl>
    <w:lvl w:ilvl="2">
      <w:start w:val="1"/>
      <w:numFmt w:val="decimal"/>
      <w:lvlText w:val=""/>
      <w:lvlJc w:val="left"/>
      <w:pPr>
        <w:ind w:left="1440" w:hanging="360"/>
      </w:pPr>
      <w:rPr/>
    </w:lvl>
    <w:lvl w:ilvl="3">
      <w:start w:val="1"/>
      <w:numFmt w:val="decimal"/>
      <w:lvlText w:val=""/>
      <w:lvlJc w:val="left"/>
      <w:pPr>
        <w:ind w:left="1800" w:hanging="360"/>
      </w:pPr>
      <w:rPr/>
    </w:lvl>
    <w:lvl w:ilvl="4">
      <w:start w:val="1"/>
      <w:numFmt w:val="decimal"/>
      <w:lvlText w:val=""/>
      <w:lvlJc w:val="left"/>
      <w:pPr>
        <w:ind w:left="2160" w:hanging="360"/>
      </w:pPr>
      <w:rPr/>
    </w:lvl>
    <w:lvl w:ilvl="5">
      <w:start w:val="1"/>
      <w:numFmt w:val="decimal"/>
      <w:lvlText w:val=""/>
      <w:lvlJc w:val="left"/>
      <w:pPr>
        <w:ind w:left="2520" w:hanging="360"/>
      </w:pPr>
      <w:rPr/>
    </w:lvl>
    <w:lvl w:ilvl="6">
      <w:start w:val="1"/>
      <w:numFmt w:val="decimal"/>
      <w:lvlText w:val=""/>
      <w:lvlJc w:val="left"/>
      <w:pPr>
        <w:ind w:left="2880" w:hanging="360"/>
      </w:pPr>
      <w:rPr/>
    </w:lvl>
    <w:lvl w:ilvl="7">
      <w:start w:val="1"/>
      <w:numFmt w:val="decimal"/>
      <w:lvlText w:val=""/>
      <w:lvlJc w:val="left"/>
      <w:pPr>
        <w:ind w:left="3240" w:hanging="360"/>
      </w:pPr>
      <w:rPr/>
    </w:lvl>
    <w:lvl w:ilvl="8">
      <w:start w:val="1"/>
      <w:numFmt w:val="decimal"/>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5"/>
      <w:jc w:val="center"/>
    </w:pPr>
    <w:rPr>
      <w:b w:val="1"/>
    </w:rPr>
  </w:style>
  <w:style w:type="paragraph" w:styleId="Heading2">
    <w:name w:val="heading 2"/>
    <w:basedOn w:val="Normal"/>
    <w:next w:val="Normal"/>
    <w:pPr>
      <w:spacing w:after="280" w:before="280" w:lineRule="auto"/>
    </w:pPr>
    <w:rPr>
      <w:b w:val="1"/>
      <w:sz w:val="36"/>
      <w:szCs w:val="36"/>
    </w:rPr>
  </w:style>
  <w:style w:type="paragraph" w:styleId="Heading3">
    <w:name w:val="heading 3"/>
    <w:basedOn w:val="Normal"/>
    <w:next w:val="Normal"/>
    <w:pPr>
      <w:keepNext w:val="1"/>
      <w:keepLines w:val="1"/>
      <w:spacing w:before="40" w:lineRule="auto"/>
      <w:ind w:left="0" w:firstLine="0"/>
    </w:pPr>
    <w:rPr>
      <w:rFonts w:ascii="Calibri" w:cs="Calibri" w:eastAsia="Calibri" w:hAnsi="Calibri"/>
      <w:color w:val="243f6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Pr>
      <w:rFonts w:ascii="Times New Roman" w:cs="Times New Roman" w:eastAsia="Times New Roman" w:hAnsi="Times New Roman"/>
      <w:sz w:val="24"/>
      <w:szCs w:val="24"/>
      <w:lang w:eastAsia="it-IT"/>
    </w:rPr>
  </w:style>
  <w:style w:type="paragraph" w:styleId="Titolo1">
    <w:name w:val="heading 1"/>
    <w:basedOn w:val="Normale"/>
    <w:qFormat w:val="1"/>
    <w:pPr>
      <w:ind w:left="115"/>
      <w:jc w:val="center"/>
      <w:outlineLvl w:val="0"/>
    </w:pPr>
    <w:rPr>
      <w:b w:val="1"/>
      <w:bCs w:val="1"/>
      <w:lang w:eastAsia="en-US"/>
    </w:rPr>
  </w:style>
  <w:style w:type="paragraph" w:styleId="Titolo2">
    <w:name w:val="heading 2"/>
    <w:basedOn w:val="Normale"/>
    <w:next w:val="Corpotesto"/>
    <w:qFormat w:val="1"/>
    <w:pPr>
      <w:spacing w:after="280" w:before="280"/>
      <w:outlineLvl w:val="1"/>
    </w:pPr>
    <w:rPr>
      <w:b w:val="1"/>
      <w:bCs w:val="1"/>
      <w:sz w:val="36"/>
      <w:szCs w:val="36"/>
    </w:rPr>
  </w:style>
  <w:style w:type="paragraph" w:styleId="Titolo3">
    <w:name w:val="heading 3"/>
    <w:basedOn w:val="Normale"/>
    <w:next w:val="Normale"/>
    <w:qFormat w:val="1"/>
    <w:pPr>
      <w:keepNext w:val="1"/>
      <w:keepLines w:val="1"/>
      <w:numPr>
        <w:ilvl w:val="2"/>
        <w:numId w:val="5"/>
      </w:numPr>
      <w:spacing w:before="40"/>
      <w:outlineLvl w:val="2"/>
    </w:pPr>
    <w:rPr>
      <w:rFonts w:ascii="Calibri" w:eastAsia="MS Gothic;ＭＳ ゴシック" w:hAnsi="Calibri"/>
      <w:color w:val="243f6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BodyTextChar" w:customStyle="1">
    <w:name w:val="Body Text Char"/>
    <w:basedOn w:val="Carpredefinitoparagrafo"/>
    <w:link w:val="Corpotesto"/>
    <w:qFormat w:val="1"/>
    <w:rPr>
      <w:rFonts w:ascii="Calibri" w:cs="Calibri" w:eastAsia="Calibri" w:hAnsi="Calibri"/>
      <w:sz w:val="24"/>
      <w:szCs w:val="24"/>
      <w:lang w:eastAsia="it-IT" w:val="en-US"/>
    </w:rPr>
  </w:style>
  <w:style w:type="character" w:styleId="Enfasiforte" w:customStyle="1">
    <w:name w:val="Enfasi forte"/>
    <w:qFormat w:val="1"/>
    <w:rPr>
      <w:b w:val="1"/>
      <w:bCs w:val="1"/>
    </w:rPr>
  </w:style>
  <w:style w:type="character" w:styleId="CollegamentoInternet" w:customStyle="1">
    <w:name w:val="Collegamento Internet"/>
    <w:rPr>
      <w:color w:val="000080"/>
      <w:u w:val="single"/>
    </w:rPr>
  </w:style>
  <w:style w:type="character" w:styleId="Enfasi" w:customStyle="1">
    <w:name w:val="Enfasi"/>
    <w:qFormat w:val="1"/>
    <w:rPr>
      <w:i w:val="1"/>
      <w:iCs w:val="1"/>
    </w:rPr>
  </w:style>
  <w:style w:type="character" w:styleId="Punti" w:customStyle="1">
    <w:name w:val="Punti"/>
    <w:qFormat w:val="1"/>
    <w:rPr>
      <w:rFonts w:ascii="OpenSymbol" w:cs="OpenSymbol" w:eastAsia="OpenSymbol" w:hAnsi="OpenSymbol"/>
    </w:rPr>
  </w:style>
  <w:style w:type="character" w:styleId="markedcontent" w:customStyle="1">
    <w:name w:val="markedcontent"/>
    <w:basedOn w:val="Carpredefinitoparagrafo"/>
    <w:qFormat w:val="1"/>
    <w:rsid w:val="00AA6001"/>
  </w:style>
  <w:style w:type="character" w:styleId="stato" w:customStyle="1">
    <w:name w:val="stato"/>
    <w:basedOn w:val="Carpredefinitoparagrafo"/>
    <w:qFormat w:val="1"/>
    <w:rsid w:val="004B785A"/>
  </w:style>
  <w:style w:type="character" w:styleId="WW8Num2z0" w:customStyle="1">
    <w:name w:val="WW8Num2z0"/>
    <w:qFormat w:val="1"/>
    <w:rPr>
      <w:rFonts w:ascii="Arial MT" w:cs="Arial MT" w:eastAsia="Arial MT" w:hAnsi="Arial MT"/>
      <w:w w:val="100"/>
      <w:sz w:val="18"/>
      <w:szCs w:val="18"/>
      <w:lang w:bidi="ar-SA" w:eastAsia="en-US" w:val="it-IT"/>
    </w:rPr>
  </w:style>
  <w:style w:type="character" w:styleId="WW8Num2z1" w:customStyle="1">
    <w:name w:val="WW8Num2z1"/>
    <w:qFormat w:val="1"/>
    <w:rPr>
      <w:rFonts w:ascii="Symbol" w:cs="Symbol" w:hAnsi="Symbol"/>
      <w:lang w:bidi="ar-SA" w:eastAsia="en-US" w:val="it-IT"/>
    </w:rPr>
  </w:style>
  <w:style w:type="character" w:styleId="WW8Num7z0" w:customStyle="1">
    <w:name w:val="WW8Num7z0"/>
    <w:qFormat w:val="1"/>
    <w:rPr>
      <w:rFonts w:ascii="Arial MT" w:cs="Arial MT" w:eastAsia="Arial MT" w:hAnsi="Arial MT"/>
      <w:w w:val="100"/>
      <w:sz w:val="8"/>
      <w:szCs w:val="8"/>
      <w:lang w:bidi="ar-SA" w:eastAsia="en-US" w:val="it-IT"/>
    </w:rPr>
  </w:style>
  <w:style w:type="character" w:styleId="WW8Num7z1" w:customStyle="1">
    <w:name w:val="WW8Num7z1"/>
    <w:qFormat w:val="1"/>
    <w:rPr>
      <w:rFonts w:ascii="Symbol" w:cs="Symbol" w:hAnsi="Symbol"/>
      <w:lang w:bidi="ar-SA" w:eastAsia="en-US" w:val="it-IT"/>
    </w:rPr>
  </w:style>
  <w:style w:type="character" w:styleId="WW8Num3z0" w:customStyle="1">
    <w:name w:val="WW8Num3z0"/>
    <w:qFormat w:val="1"/>
    <w:rPr>
      <w:rFonts w:ascii="Arial MT" w:cs="Arial MT" w:eastAsia="Arial MT" w:hAnsi="Arial MT"/>
      <w:w w:val="100"/>
      <w:sz w:val="8"/>
      <w:szCs w:val="8"/>
      <w:lang w:bidi="ar-SA" w:eastAsia="en-US" w:val="it-IT"/>
    </w:rPr>
  </w:style>
  <w:style w:type="character" w:styleId="WW8Num3z1" w:customStyle="1">
    <w:name w:val="WW8Num3z1"/>
    <w:qFormat w:val="1"/>
    <w:rPr>
      <w:rFonts w:ascii="Symbol" w:cs="Symbol" w:hAnsi="Symbol"/>
      <w:lang w:bidi="ar-SA" w:eastAsia="en-US" w:val="it-IT"/>
    </w:rPr>
  </w:style>
  <w:style w:type="character" w:styleId="WW8Num4z0" w:customStyle="1">
    <w:name w:val="WW8Num4z0"/>
    <w:qFormat w:val="1"/>
    <w:rPr>
      <w:rFonts w:ascii="Arial MT" w:cs="Arial MT" w:eastAsia="Arial MT" w:hAnsi="Arial MT"/>
      <w:w w:val="100"/>
      <w:sz w:val="8"/>
      <w:szCs w:val="8"/>
      <w:lang w:bidi="ar-SA" w:eastAsia="en-US" w:val="it-IT"/>
    </w:rPr>
  </w:style>
  <w:style w:type="character" w:styleId="WW8Num4z1" w:customStyle="1">
    <w:name w:val="WW8Num4z1"/>
    <w:qFormat w:val="1"/>
    <w:rPr>
      <w:rFonts w:ascii="Symbol" w:cs="Symbol" w:hAnsi="Symbol"/>
      <w:lang w:bidi="ar-SA" w:eastAsia="en-US" w:val="it-IT"/>
    </w:rPr>
  </w:style>
  <w:style w:type="character" w:styleId="WW8Num5z0" w:customStyle="1">
    <w:name w:val="WW8Num5z0"/>
    <w:qFormat w:val="1"/>
    <w:rPr>
      <w:rFonts w:ascii="Arial MT" w:cs="Arial MT" w:eastAsia="Arial MT" w:hAnsi="Arial MT"/>
      <w:w w:val="100"/>
      <w:sz w:val="8"/>
      <w:szCs w:val="8"/>
      <w:lang w:bidi="ar-SA" w:eastAsia="en-US" w:val="it-IT"/>
    </w:rPr>
  </w:style>
  <w:style w:type="character" w:styleId="WW8Num5z1" w:customStyle="1">
    <w:name w:val="WW8Num5z1"/>
    <w:qFormat w:val="1"/>
    <w:rPr>
      <w:rFonts w:ascii="Symbol" w:cs="Symbol" w:hAnsi="Symbol"/>
      <w:lang w:bidi="ar-SA" w:eastAsia="en-US" w:val="it-IT"/>
    </w:rPr>
  </w:style>
  <w:style w:type="character" w:styleId="WW8Num6z0" w:customStyle="1">
    <w:name w:val="WW8Num6z0"/>
    <w:qFormat w:val="1"/>
    <w:rPr>
      <w:rFonts w:ascii="Arial MT" w:cs="Arial MT" w:eastAsia="Arial MT" w:hAnsi="Arial MT"/>
      <w:w w:val="100"/>
      <w:sz w:val="8"/>
      <w:szCs w:val="8"/>
      <w:lang w:bidi="ar-SA" w:eastAsia="en-US" w:val="it-IT"/>
    </w:rPr>
  </w:style>
  <w:style w:type="character" w:styleId="WW8Num6z1" w:customStyle="1">
    <w:name w:val="WW8Num6z1"/>
    <w:qFormat w:val="1"/>
    <w:rPr>
      <w:rFonts w:ascii="Symbol" w:cs="Symbol" w:hAnsi="Symbol"/>
      <w:lang w:bidi="ar-SA" w:eastAsia="en-US" w:val="it-IT"/>
    </w:rPr>
  </w:style>
  <w:style w:type="character" w:styleId="CollegamentoInternetvisitato" w:customStyle="1">
    <w:name w:val="Collegamento Internet visitato"/>
    <w:rPr>
      <w:color w:val="800000"/>
      <w:u w:val="single"/>
      <w:lang/>
    </w:rPr>
  </w:style>
  <w:style w:type="paragraph" w:styleId="Titolo10" w:customStyle="1">
    <w:name w:val="Titolo1"/>
    <w:basedOn w:val="Normale"/>
    <w:next w:val="Corpotesto"/>
    <w:qFormat w:val="1"/>
    <w:pPr>
      <w:keepNext w:val="1"/>
      <w:spacing w:after="120" w:before="240"/>
    </w:pPr>
    <w:rPr>
      <w:rFonts w:ascii="Liberation Sans" w:cs="Lucida Sans" w:eastAsia="Microsoft YaHei" w:hAnsi="Liberation Sans"/>
      <w:sz w:val="28"/>
      <w:szCs w:val="28"/>
    </w:rPr>
  </w:style>
  <w:style w:type="paragraph" w:styleId="Corpotesto">
    <w:name w:val="Body Text"/>
    <w:basedOn w:val="Normale"/>
    <w:qFormat w:val="1"/>
    <w:pPr>
      <w:spacing w:after="120"/>
    </w:pPr>
  </w:style>
  <w:style w:type="paragraph" w:styleId="Elenco">
    <w:name w:val="List"/>
    <w:basedOn w:val="Corpotesto"/>
    <w:rPr>
      <w:rFonts w:cs="Lucida Sans"/>
    </w:rPr>
  </w:style>
  <w:style w:type="paragraph" w:styleId="Didascalia">
    <w:name w:val="caption"/>
    <w:basedOn w:val="Normale"/>
    <w:qFormat w:val="1"/>
    <w:pPr>
      <w:suppressLineNumbers w:val="1"/>
      <w:spacing w:after="120" w:before="120"/>
    </w:pPr>
    <w:rPr>
      <w:rFonts w:cs="Lucida Sans"/>
      <w:i w:val="1"/>
      <w:iCs w:val="1"/>
    </w:rPr>
  </w:style>
  <w:style w:type="paragraph" w:styleId="Indice" w:customStyle="1">
    <w:name w:val="Indice"/>
    <w:basedOn w:val="Normale"/>
    <w:qFormat w:val="1"/>
    <w:pPr>
      <w:suppressLineNumbers w:val="1"/>
    </w:pPr>
    <w:rPr>
      <w:rFonts w:cs="Lucida Sans"/>
    </w:rPr>
  </w:style>
  <w:style w:type="paragraph" w:styleId="Titolo">
    <w:name w:val="Title"/>
    <w:basedOn w:val="Normale"/>
    <w:next w:val="Corpotesto"/>
    <w:qFormat w:val="1"/>
    <w:pPr>
      <w:keepNext w:val="1"/>
      <w:spacing w:after="120" w:before="240"/>
    </w:pPr>
    <w:rPr>
      <w:rFonts w:ascii="Liberation Sans" w:cs="Lucida Sans" w:eastAsia="Microsoft YaHei" w:hAnsi="Liberation Sans"/>
      <w:sz w:val="28"/>
      <w:szCs w:val="28"/>
    </w:rPr>
  </w:style>
  <w:style w:type="paragraph" w:styleId="Paragrafoelenco">
    <w:name w:val="List Paragraph"/>
    <w:basedOn w:val="Normale"/>
    <w:qFormat w:val="1"/>
    <w:pPr>
      <w:ind w:left="720"/>
      <w:contextualSpacing w:val="1"/>
    </w:pPr>
  </w:style>
  <w:style w:type="paragraph" w:styleId="Nessunaspaziatura">
    <w:name w:val="No Spacing"/>
    <w:qFormat w:val="1"/>
  </w:style>
  <w:style w:type="paragraph" w:styleId="TableParagraph" w:customStyle="1">
    <w:name w:val="Table Paragraph"/>
    <w:basedOn w:val="Normale"/>
    <w:qFormat w:val="1"/>
    <w:pPr>
      <w:widowControl w:val="0"/>
      <w:spacing w:before="65"/>
    </w:pPr>
    <w:rPr>
      <w:rFonts w:ascii="Arial" w:cs="Arial" w:eastAsia="Arial" w:hAnsi="Arial"/>
      <w:sz w:val="22"/>
      <w:szCs w:val="22"/>
      <w:lang w:bidi="it-IT"/>
    </w:rPr>
  </w:style>
  <w:style w:type="paragraph" w:styleId="Contenutotabella" w:customStyle="1">
    <w:name w:val="Contenuto tabella"/>
    <w:basedOn w:val="Normale"/>
    <w:qFormat w:val="1"/>
    <w:pPr>
      <w:widowControl w:val="0"/>
      <w:suppressLineNumbers w:val="1"/>
    </w:pPr>
  </w:style>
  <w:style w:type="paragraph" w:styleId="Titolotabella" w:customStyle="1">
    <w:name w:val="Titolo tabella"/>
    <w:basedOn w:val="Contenutotabella"/>
    <w:qFormat w:val="1"/>
    <w:pPr>
      <w:jc w:val="center"/>
    </w:pPr>
    <w:rPr>
      <w:b w:val="1"/>
      <w:bCs w:val="1"/>
    </w:rPr>
  </w:style>
  <w:style w:type="paragraph" w:styleId="Default" w:customStyle="1">
    <w:name w:val="Default"/>
    <w:qFormat w:val="1"/>
    <w:rPr>
      <w:rFonts w:cs="Calibri"/>
      <w:color w:val="000000"/>
      <w:sz w:val="24"/>
      <w:szCs w:val="24"/>
    </w:rPr>
  </w:style>
  <w:style w:type="paragraph" w:styleId="Nessunaspaziatura1" w:customStyle="1">
    <w:name w:val="Nessuna spaziatura1"/>
    <w:qFormat w:val="1"/>
    <w:rPr>
      <w:rFonts w:ascii="Times New Roman" w:cs="Times New Roman" w:eastAsia="Times New Roman" w:hAnsi="Times New Roman"/>
      <w:sz w:val="24"/>
      <w:szCs w:val="24"/>
    </w:rPr>
  </w:style>
  <w:style w:type="paragraph" w:styleId="Intestazioneepidipagina" w:customStyle="1">
    <w:name w:val="Intestazione e piè di pagina"/>
    <w:basedOn w:val="Normale"/>
    <w:qFormat w:val="1"/>
    <w:pPr>
      <w:suppressLineNumbers w:val="1"/>
      <w:tabs>
        <w:tab w:val="center" w:pos="4660"/>
        <w:tab w:val="right" w:pos="9321"/>
      </w:tabs>
    </w:pPr>
  </w:style>
  <w:style w:type="paragraph" w:styleId="Intestazione">
    <w:name w:val="header"/>
    <w:basedOn w:val="Intestazioneepidipagina"/>
  </w:style>
  <w:style w:type="paragraph" w:styleId="Pidipagina">
    <w:name w:val="footer"/>
    <w:basedOn w:val="Intestazioneepidipagina"/>
    <w:pPr>
      <w:tabs>
        <w:tab w:val="clear" w:pos="4660"/>
        <w:tab w:val="clear" w:pos="9321"/>
        <w:tab w:val="center" w:pos="4963"/>
        <w:tab w:val="right" w:pos="9927"/>
      </w:tabs>
    </w:pPr>
  </w:style>
  <w:style w:type="paragraph" w:styleId="Puntoelenco3">
    <w:name w:val="List Bullet 3"/>
    <w:basedOn w:val="Normale"/>
    <w:qFormat w:val="1"/>
    <w:pPr>
      <w:ind w:left="566" w:hanging="283"/>
    </w:pPr>
  </w:style>
  <w:style w:type="paragraph" w:styleId="Testopreformattato" w:customStyle="1">
    <w:name w:val="Testo preformattato"/>
    <w:basedOn w:val="Normale"/>
    <w:qFormat w:val="1"/>
    <w:rPr>
      <w:rFonts w:ascii="Liberation Mono" w:cs="Liberation Mono" w:eastAsia="Liberation Mono" w:hAnsi="Liberation Mono"/>
      <w:sz w:val="20"/>
      <w:szCs w:val="20"/>
    </w:rPr>
  </w:style>
  <w:style w:type="paragraph" w:styleId="Contenutocornice" w:customStyle="1">
    <w:name w:val="Contenuto cornice"/>
    <w:basedOn w:val="Normale"/>
    <w:qFormat w:val="1"/>
  </w:style>
  <w:style w:type="paragraph" w:styleId="Testocitato" w:customStyle="1">
    <w:name w:val="Testo citato"/>
    <w:basedOn w:val="Normale"/>
    <w:qFormat w:val="1"/>
    <w:pPr>
      <w:spacing w:after="283"/>
      <w:ind w:left="567" w:right="567"/>
    </w:pPr>
  </w:style>
  <w:style w:type="numbering" w:styleId="WW8Num2" w:customStyle="1">
    <w:name w:val="WW8Num2"/>
    <w:qFormat w:val="1"/>
  </w:style>
  <w:style w:type="numbering" w:styleId="WW8Num7" w:customStyle="1">
    <w:name w:val="WW8Num7"/>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osettiegatti.eu/info/norme/statali/2023_0036.htm#095" TargetMode="External"/><Relationship Id="rId10" Type="http://schemas.openxmlformats.org/officeDocument/2006/relationships/hyperlink" Target="https://www.bosettiegatti.eu/info/norme/statali/2005_0082.htm#50-ter" TargetMode="External"/><Relationship Id="rId13" Type="http://schemas.openxmlformats.org/officeDocument/2006/relationships/hyperlink" Target="https://www.bosettiegatti.eu/info/norme/statali/2023_0036.htm#103" TargetMode="External"/><Relationship Id="rId12" Type="http://schemas.openxmlformats.org/officeDocument/2006/relationships/hyperlink" Target="https://www.bosettiegatti.eu/info/norme/statali/2023_0036.htm#1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settiegatti.eu/info/norme/statali/2023_0036.htm#024" TargetMode="External"/><Relationship Id="rId15" Type="http://schemas.openxmlformats.org/officeDocument/2006/relationships/hyperlink" Target="https://www.bosettiegatti.eu/info/norme/statali/2023_0036_A_II.14_DL_ed_secuzione.pdf" TargetMode="External"/><Relationship Id="rId14" Type="http://schemas.openxmlformats.org/officeDocument/2006/relationships/hyperlink" Target="https://www.bosettiegatti.eu/info/norme/statali/2005_0082.htm#50-ter" TargetMode="External"/><Relationship Id="rId17" Type="http://schemas.openxmlformats.org/officeDocument/2006/relationships/hyperlink" Target="https://www.bosettiegatti.eu/info/norme/statali/2008_0133.htm#61" TargetMode="External"/><Relationship Id="rId16" Type="http://schemas.openxmlformats.org/officeDocument/2006/relationships/hyperlink" Target="https://www.bosettiegatti.eu/info/norme/statali/codicecivile.htm#196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acquistinretepa.it/" TargetMode="External"/><Relationship Id="rId8" Type="http://schemas.openxmlformats.org/officeDocument/2006/relationships/hyperlink" Target="https://www.bosettiegatti.eu/info/norme/statali/2023_0036.htm#0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2tLE6jC63FczNi/W/OHA6K8MLg==">CgMxLjAyCWlkLmdqZGd4czIKaWQuMzBqMHpsbDgAciExMXczZnhzNmNIUTRhNVhjeVhURVQyb1F6cnI2S0I1MUw=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2023-09-30T11:36:00Z</dcterms:created>
  <dc:creator>LD - Studio Lambda</dc:creator>
</cp:coreProperties>
</file>